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4B" w:rsidRPr="00362286" w:rsidRDefault="00D31B4B" w:rsidP="00362286">
      <w:pPr>
        <w:pStyle w:val="IntenseQuote"/>
        <w:rPr>
          <w:b/>
          <w:i w:val="0"/>
          <w:sz w:val="36"/>
          <w:szCs w:val="36"/>
        </w:rPr>
      </w:pPr>
      <w:r w:rsidRPr="00362286">
        <w:rPr>
          <w:b/>
          <w:i w:val="0"/>
          <w:sz w:val="36"/>
          <w:szCs w:val="36"/>
        </w:rPr>
        <w:t xml:space="preserve">Indicazioni </w:t>
      </w:r>
      <w:r>
        <w:rPr>
          <w:b/>
          <w:i w:val="0"/>
          <w:sz w:val="36"/>
          <w:szCs w:val="36"/>
        </w:rPr>
        <w:t>p</w:t>
      </w:r>
      <w:r w:rsidRPr="00362286">
        <w:rPr>
          <w:b/>
          <w:i w:val="0"/>
          <w:sz w:val="36"/>
          <w:szCs w:val="36"/>
        </w:rPr>
        <w:t xml:space="preserve">er </w:t>
      </w:r>
      <w:r>
        <w:rPr>
          <w:b/>
          <w:i w:val="0"/>
          <w:sz w:val="36"/>
          <w:szCs w:val="36"/>
        </w:rPr>
        <w:t>l</w:t>
      </w:r>
      <w:r w:rsidRPr="00362286">
        <w:rPr>
          <w:b/>
          <w:i w:val="0"/>
          <w:sz w:val="36"/>
          <w:szCs w:val="36"/>
        </w:rPr>
        <w:t xml:space="preserve">a </w:t>
      </w:r>
      <w:r>
        <w:rPr>
          <w:b/>
          <w:i w:val="0"/>
          <w:sz w:val="36"/>
          <w:szCs w:val="36"/>
        </w:rPr>
        <w:t>r</w:t>
      </w:r>
      <w:r w:rsidRPr="00362286">
        <w:rPr>
          <w:b/>
          <w:i w:val="0"/>
          <w:sz w:val="36"/>
          <w:szCs w:val="36"/>
        </w:rPr>
        <w:t xml:space="preserve">icerca </w:t>
      </w:r>
      <w:r>
        <w:rPr>
          <w:b/>
          <w:i w:val="0"/>
          <w:sz w:val="36"/>
          <w:szCs w:val="36"/>
        </w:rPr>
        <w:t>d</w:t>
      </w:r>
      <w:r w:rsidRPr="00362286">
        <w:rPr>
          <w:b/>
          <w:i w:val="0"/>
          <w:sz w:val="36"/>
          <w:szCs w:val="36"/>
        </w:rPr>
        <w:t>ispersi</w:t>
      </w:r>
    </w:p>
    <w:p w:rsidR="00D31B4B" w:rsidRDefault="00D31B4B" w:rsidP="003D03D0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D03D0">
        <w:rPr>
          <w:rFonts w:ascii="Arial" w:hAnsi="Arial" w:cs="Arial"/>
          <w:sz w:val="20"/>
          <w:szCs w:val="20"/>
          <w:lang w:eastAsia="it-IT"/>
        </w:rPr>
        <w:t>Si definisce persona dispersa il soggetto non più rintracciabile per motivi diversi da atti criminali – nei quali sarà interessata l’A.G. - o di allontanamento volontario senza fornire indicazioni (di competenza dello specifico piano) per la quale occorre avviare operazioni di ricerca e soccorso poiché si suppone possa trovarsi in situazioni di pericolo dovuto a incidenti o infortuni e perdite di orientamento.</w:t>
      </w:r>
    </w:p>
    <w:p w:rsidR="00D31B4B" w:rsidRPr="003D03D0" w:rsidRDefault="00D31B4B" w:rsidP="003D03D0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2867BB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D03D0">
        <w:rPr>
          <w:rFonts w:ascii="Arial" w:hAnsi="Arial" w:cs="Arial"/>
          <w:sz w:val="20"/>
          <w:szCs w:val="20"/>
          <w:lang w:eastAsia="it-IT"/>
        </w:rPr>
        <w:t>Il Piano</w:t>
      </w:r>
      <w:r>
        <w:rPr>
          <w:rFonts w:ascii="Arial" w:hAnsi="Arial" w:cs="Arial"/>
          <w:sz w:val="20"/>
          <w:szCs w:val="20"/>
          <w:lang w:eastAsia="it-IT"/>
        </w:rPr>
        <w:t xml:space="preserve"> redatto dalla Prefettura-UTG</w:t>
      </w:r>
      <w:r w:rsidRPr="003D03D0">
        <w:rPr>
          <w:rFonts w:ascii="Arial" w:hAnsi="Arial" w:cs="Arial"/>
          <w:sz w:val="20"/>
          <w:szCs w:val="20"/>
          <w:lang w:eastAsia="it-IT"/>
        </w:rPr>
        <w:t xml:space="preserve"> definisce il modello di intervento per attivare le operazioni di ricerca; operazioni </w:t>
      </w:r>
      <w:r w:rsidRPr="002867BB">
        <w:rPr>
          <w:rFonts w:ascii="Arial" w:hAnsi="Arial" w:cs="Arial"/>
          <w:sz w:val="20"/>
          <w:szCs w:val="20"/>
          <w:lang w:eastAsia="it-IT"/>
        </w:rPr>
        <w:t xml:space="preserve">che necessitano l’attivazione di forze diverse appartenenti a più </w:t>
      </w:r>
      <w:r>
        <w:rPr>
          <w:rFonts w:ascii="Arial" w:hAnsi="Arial" w:cs="Arial"/>
          <w:sz w:val="20"/>
          <w:szCs w:val="20"/>
          <w:lang w:eastAsia="it-IT"/>
        </w:rPr>
        <w:t>o</w:t>
      </w:r>
      <w:r w:rsidRPr="002867BB">
        <w:rPr>
          <w:rFonts w:ascii="Arial" w:hAnsi="Arial" w:cs="Arial"/>
          <w:sz w:val="20"/>
          <w:szCs w:val="20"/>
          <w:lang w:eastAsia="it-IT"/>
        </w:rPr>
        <w:t xml:space="preserve">rganizzazioni e </w:t>
      </w:r>
      <w:r>
        <w:rPr>
          <w:rFonts w:ascii="Arial" w:hAnsi="Arial" w:cs="Arial"/>
          <w:sz w:val="20"/>
          <w:szCs w:val="20"/>
          <w:lang w:eastAsia="it-IT"/>
        </w:rPr>
        <w:t>c</w:t>
      </w:r>
      <w:r w:rsidRPr="002867BB">
        <w:rPr>
          <w:rFonts w:ascii="Arial" w:hAnsi="Arial" w:cs="Arial"/>
          <w:sz w:val="20"/>
          <w:szCs w:val="20"/>
          <w:lang w:eastAsia="it-IT"/>
        </w:rPr>
        <w:t xml:space="preserve">orpi e </w:t>
      </w:r>
      <w:r w:rsidRPr="003D03D0">
        <w:rPr>
          <w:rFonts w:ascii="Arial" w:hAnsi="Arial" w:cs="Arial"/>
          <w:sz w:val="20"/>
          <w:szCs w:val="20"/>
          <w:lang w:eastAsia="it-IT"/>
        </w:rPr>
        <w:t xml:space="preserve">che </w:t>
      </w:r>
      <w:r>
        <w:rPr>
          <w:rFonts w:ascii="Arial" w:hAnsi="Arial" w:cs="Arial"/>
          <w:sz w:val="20"/>
          <w:szCs w:val="20"/>
          <w:lang w:eastAsia="it-IT"/>
        </w:rPr>
        <w:t>possono coinvolgere</w:t>
      </w:r>
      <w:r w:rsidRPr="003D03D0">
        <w:rPr>
          <w:rFonts w:ascii="Arial" w:hAnsi="Arial" w:cs="Arial"/>
          <w:sz w:val="20"/>
          <w:szCs w:val="20"/>
          <w:lang w:eastAsia="it-IT"/>
        </w:rPr>
        <w:t xml:space="preserve"> anche il sistema</w:t>
      </w:r>
      <w:bookmarkStart w:id="0" w:name="_GoBack"/>
      <w:bookmarkEnd w:id="0"/>
      <w:r w:rsidRPr="003D03D0">
        <w:rPr>
          <w:rFonts w:ascii="Arial" w:hAnsi="Arial" w:cs="Arial"/>
          <w:sz w:val="20"/>
          <w:szCs w:val="20"/>
          <w:lang w:eastAsia="it-IT"/>
        </w:rPr>
        <w:t xml:space="preserve"> di protezione civile </w:t>
      </w:r>
      <w:r>
        <w:rPr>
          <w:rFonts w:ascii="Arial" w:hAnsi="Arial" w:cs="Arial"/>
          <w:sz w:val="20"/>
          <w:szCs w:val="20"/>
          <w:lang w:eastAsia="it-IT"/>
        </w:rPr>
        <w:t>del Comune, qualora la scomparsa avvenga nel territorio comunale o in quello di un Comune limitrofo</w:t>
      </w:r>
      <w:r w:rsidRPr="003D03D0">
        <w:rPr>
          <w:rFonts w:ascii="Arial" w:hAnsi="Arial" w:cs="Arial"/>
          <w:sz w:val="20"/>
          <w:szCs w:val="20"/>
          <w:lang w:eastAsia="it-IT"/>
        </w:rPr>
        <w:t xml:space="preserve">. </w:t>
      </w:r>
    </w:p>
    <w:p w:rsidR="00D31B4B" w:rsidRDefault="00D31B4B" w:rsidP="002867BB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2867BB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3D03D0">
      <w:pPr>
        <w:spacing w:after="120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Le fasi operative principali nella ricerca di persone disperse sono tre:</w:t>
      </w:r>
    </w:p>
    <w:p w:rsidR="00D31B4B" w:rsidRPr="007F7085" w:rsidRDefault="00D31B4B" w:rsidP="007F7085">
      <w:pPr>
        <w:spacing w:after="120"/>
        <w:jc w:val="both"/>
        <w:rPr>
          <w:rFonts w:ascii="Arial" w:hAnsi="Arial" w:cs="Arial"/>
          <w:sz w:val="20"/>
          <w:szCs w:val="20"/>
          <w:lang w:eastAsia="it-IT"/>
        </w:rPr>
      </w:pPr>
      <w:r w:rsidRPr="007F7085">
        <w:rPr>
          <w:rFonts w:ascii="Arial" w:hAnsi="Arial" w:cs="Arial"/>
          <w:sz w:val="20"/>
          <w:szCs w:val="20"/>
          <w:lang w:eastAsia="it-IT"/>
        </w:rPr>
        <w:t>1) La ricezione della segnalazione di persona dispersa, per la quale si prevede la compilazione di una scheda informativa unificata, la valutazione dell’attendibilità della chiamata e la condivisione delle informazioni e delle prime decisioni</w:t>
      </w:r>
    </w:p>
    <w:p w:rsidR="00D31B4B" w:rsidRPr="007F7085" w:rsidRDefault="00D31B4B" w:rsidP="007F7085">
      <w:pPr>
        <w:spacing w:after="120"/>
        <w:jc w:val="both"/>
        <w:rPr>
          <w:rFonts w:ascii="Arial" w:hAnsi="Arial" w:cs="Arial"/>
          <w:sz w:val="20"/>
          <w:szCs w:val="20"/>
          <w:lang w:eastAsia="it-IT"/>
        </w:rPr>
      </w:pPr>
      <w:r w:rsidRPr="007F7085">
        <w:rPr>
          <w:rFonts w:ascii="Arial" w:hAnsi="Arial" w:cs="Arial"/>
          <w:sz w:val="20"/>
          <w:szCs w:val="20"/>
          <w:lang w:eastAsia="it-IT"/>
        </w:rPr>
        <w:t xml:space="preserve">2) Le verifiche di Polizia, con le quali si compiono dei solleciti riscontri sulla persona, ad esempio domiciliari, per le informazioni che non sia possibile od opportuno raccogliere al telefono e delle tempestive verifiche sui luoghi dell’ultimo avvistamento ovvero della probabile destinazione iniziale e/o finale della persona, mettendo a disposizione le informazioni acquisite per tutte le Componenti della ricerca </w:t>
      </w:r>
    </w:p>
    <w:p w:rsidR="00D31B4B" w:rsidRPr="003D03D0" w:rsidRDefault="00D31B4B" w:rsidP="007F7085">
      <w:pPr>
        <w:spacing w:after="120"/>
        <w:jc w:val="both"/>
        <w:rPr>
          <w:rFonts w:ascii="Arial" w:hAnsi="Arial" w:cs="Arial"/>
          <w:sz w:val="20"/>
          <w:szCs w:val="20"/>
          <w:lang w:eastAsia="it-IT"/>
        </w:rPr>
      </w:pPr>
      <w:r w:rsidRPr="007F7085">
        <w:rPr>
          <w:rFonts w:ascii="Arial" w:hAnsi="Arial" w:cs="Arial"/>
          <w:sz w:val="20"/>
          <w:szCs w:val="20"/>
          <w:lang w:eastAsia="it-IT"/>
        </w:rPr>
        <w:t>3) La ricerca in campo, in cui si costituisce nella zona della ricerca un unico Centro di Coordinamento</w:t>
      </w:r>
      <w:r>
        <w:rPr>
          <w:rFonts w:ascii="Arial" w:hAnsi="Arial" w:cs="Arial"/>
          <w:sz w:val="20"/>
          <w:szCs w:val="20"/>
          <w:lang w:eastAsia="it-IT"/>
        </w:rPr>
        <w:t xml:space="preserve"> – Posto di Comando Avanzato</w:t>
      </w:r>
      <w:r w:rsidRPr="007F7085">
        <w:rPr>
          <w:rFonts w:ascii="Arial" w:hAnsi="Arial" w:cs="Arial"/>
          <w:sz w:val="20"/>
          <w:szCs w:val="20"/>
          <w:lang w:eastAsia="it-IT"/>
        </w:rPr>
        <w:t>, chiamato a pianificare la ricerca ed a gestirla congiuntamente fino al ritrovamento della/delle persone o alla chiusura delle operazioni</w:t>
      </w:r>
      <w:r w:rsidRPr="003D03D0">
        <w:rPr>
          <w:rFonts w:ascii="Arial" w:hAnsi="Arial" w:cs="Arial"/>
          <w:sz w:val="20"/>
          <w:szCs w:val="20"/>
          <w:lang w:eastAsia="it-IT"/>
        </w:rPr>
        <w:t xml:space="preserve"> </w:t>
      </w: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 Comune, tramite il sistema di reperibilità del Ce.Si, potrà essere contattato per dare seguito a quanto necessario per il supporto delle operazioni di ricerca organizzate e dirette dal Posto di Comando Avanzato.</w:t>
      </w: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Per gli aggiornamenti del piano indicato si procederà, a seguito di un atto del Responsabile comunale del settore protezione civile, tramite l’inserimento in allegato del documento trasmesso ufficialmente dalla Prefettura.</w:t>
      </w: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>Riferimenti normativi: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bookmarkStart w:id="1" w:name="3._Riferimenti_Legislativi_e_normativi"/>
      <w:bookmarkStart w:id="2" w:name="2._Premessa"/>
      <w:bookmarkEnd w:id="1"/>
      <w:bookmarkEnd w:id="2"/>
      <w:r>
        <w:rPr>
          <w:rFonts w:ascii="Arial" w:hAnsi="Arial" w:cs="Arial"/>
          <w:sz w:val="20"/>
          <w:szCs w:val="20"/>
          <w:lang w:eastAsia="it-IT"/>
        </w:rPr>
        <w:t>Legge n. 289 del 27 dicembre 2002;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Legge n. 74 del 21 febbraio 2001;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Legge n. 203 del 14 novembre 2012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Circolare del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Ministero dell'Interno – Ufficio del Commissario del Governo per le persone scomparse </w:t>
      </w:r>
      <w:r>
        <w:rPr>
          <w:rFonts w:ascii="Arial" w:hAnsi="Arial" w:cs="Arial"/>
          <w:sz w:val="20"/>
          <w:szCs w:val="20"/>
          <w:lang w:eastAsia="it-IT"/>
        </w:rPr>
        <w:t>n. 0000832 del 5 agosto 2010: “</w:t>
      </w:r>
      <w:r>
        <w:rPr>
          <w:rFonts w:ascii="Arial" w:hAnsi="Arial" w:cs="Arial"/>
          <w:i/>
          <w:iCs/>
          <w:sz w:val="20"/>
          <w:szCs w:val="20"/>
          <w:lang w:eastAsia="it-IT"/>
        </w:rPr>
        <w:t>Linee guida per favorire la ricerca delle persone scomparse</w:t>
      </w:r>
      <w:r>
        <w:rPr>
          <w:rFonts w:ascii="Arial" w:hAnsi="Arial" w:cs="Arial"/>
          <w:sz w:val="20"/>
          <w:szCs w:val="20"/>
          <w:lang w:eastAsia="it-IT"/>
        </w:rPr>
        <w:t>”;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Circolare del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Ministero dell'Interno – Ufficio del Commissario del Governo per le persone scomparse </w:t>
      </w:r>
      <w:r>
        <w:rPr>
          <w:rFonts w:ascii="Arial" w:hAnsi="Arial" w:cs="Arial"/>
          <w:sz w:val="20"/>
          <w:szCs w:val="20"/>
          <w:lang w:eastAsia="it-IT"/>
        </w:rPr>
        <w:t>n. 0001126 del 5 ottobre 2010: “</w:t>
      </w:r>
      <w:r>
        <w:rPr>
          <w:rFonts w:ascii="Arial" w:hAnsi="Arial" w:cs="Arial"/>
          <w:i/>
          <w:iCs/>
          <w:sz w:val="20"/>
          <w:szCs w:val="20"/>
          <w:lang w:eastAsia="it-IT"/>
        </w:rPr>
        <w:t>Linee guida per favorire la ricerca delle persone scomparse. Richiesta di chiarimenti</w:t>
      </w:r>
      <w:r>
        <w:rPr>
          <w:rFonts w:ascii="Arial" w:hAnsi="Arial" w:cs="Arial"/>
          <w:sz w:val="20"/>
          <w:szCs w:val="20"/>
          <w:lang w:eastAsia="it-IT"/>
        </w:rPr>
        <w:t>”;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Circolare del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Ministero dell'Interno - Gabinetto del Ministro </w:t>
      </w:r>
      <w:r>
        <w:rPr>
          <w:rFonts w:ascii="Arial" w:hAnsi="Arial" w:cs="Arial"/>
          <w:sz w:val="20"/>
          <w:szCs w:val="20"/>
          <w:lang w:eastAsia="it-IT"/>
        </w:rPr>
        <w:t>n. 1100114953 del 31 marzo 2011: “</w:t>
      </w:r>
      <w:r>
        <w:rPr>
          <w:rFonts w:ascii="Arial" w:hAnsi="Arial" w:cs="Arial"/>
          <w:i/>
          <w:iCs/>
          <w:sz w:val="20"/>
          <w:szCs w:val="20"/>
          <w:lang w:eastAsia="it-IT"/>
        </w:rPr>
        <w:t>Protocollo d'intesa tra il Dipartimento dei Vigili del Fuoco, del Soccorso pubblico e della Difesa Civile e il Commissario Straordinario del Governo per le persone scomparse</w:t>
      </w:r>
      <w:r>
        <w:rPr>
          <w:rFonts w:ascii="Arial" w:hAnsi="Arial" w:cs="Arial"/>
          <w:sz w:val="20"/>
          <w:szCs w:val="20"/>
          <w:lang w:eastAsia="it-IT"/>
        </w:rPr>
        <w:t>”;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Piano Provinciale di Protezione Civile;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“Circolare del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Ministero dell'Interno – Ufficio del Commissario del Governo per le persone scomparse </w:t>
      </w:r>
      <w:r>
        <w:rPr>
          <w:rFonts w:ascii="Arial" w:hAnsi="Arial" w:cs="Arial"/>
          <w:sz w:val="20"/>
          <w:szCs w:val="20"/>
          <w:lang w:eastAsia="it-IT"/>
        </w:rPr>
        <w:t xml:space="preserve">n. 0000155 del 14 gennaio 2013: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>Legge 14 novembre 2012 n. 203, recante “Disposizioni per la ricerca delle persone scomparse”</w:t>
      </w:r>
      <w:r>
        <w:rPr>
          <w:rFonts w:ascii="Arial" w:hAnsi="Arial" w:cs="Arial"/>
          <w:sz w:val="20"/>
          <w:szCs w:val="20"/>
          <w:lang w:eastAsia="it-IT"/>
        </w:rPr>
        <w:t>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Circolare del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Ministero dell'Interno – Ufficio del Commissario del Governo per le persone scomparse </w:t>
      </w:r>
      <w:r>
        <w:rPr>
          <w:rFonts w:ascii="Arial" w:hAnsi="Arial" w:cs="Arial"/>
          <w:sz w:val="20"/>
          <w:szCs w:val="20"/>
          <w:lang w:eastAsia="it-IT"/>
        </w:rPr>
        <w:t xml:space="preserve">n. 0000276 del 21 gennaio 2013: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>Legge 14 novembre 2012 n. 203, recante “Disposizioni per la ricerca delle persone scomparse”</w:t>
      </w:r>
      <w:r>
        <w:rPr>
          <w:rFonts w:ascii="Arial" w:hAnsi="Arial" w:cs="Arial"/>
          <w:sz w:val="20"/>
          <w:szCs w:val="20"/>
          <w:lang w:eastAsia="it-IT"/>
        </w:rPr>
        <w:t>;</w:t>
      </w:r>
    </w:p>
    <w:p w:rsidR="00D31B4B" w:rsidRDefault="00D31B4B" w:rsidP="008E019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Circolare del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Ministero dell'Interno – Ufficio del Commissario del Governo per le persone scomparse </w:t>
      </w:r>
      <w:r>
        <w:rPr>
          <w:rFonts w:ascii="Arial" w:hAnsi="Arial" w:cs="Arial"/>
          <w:sz w:val="20"/>
          <w:szCs w:val="20"/>
          <w:lang w:eastAsia="it-IT"/>
        </w:rPr>
        <w:t xml:space="preserve">n. 0000831 del 19 febbraio 2013: </w:t>
      </w:r>
      <w:r>
        <w:rPr>
          <w:rFonts w:ascii="Arial" w:hAnsi="Arial" w:cs="Arial"/>
          <w:i/>
          <w:iCs/>
          <w:sz w:val="20"/>
          <w:szCs w:val="20"/>
          <w:lang w:eastAsia="it-IT"/>
        </w:rPr>
        <w:t>Legge 14 novembre 2012 n. 203, recante “Disposizioni per la ricerca delle persone scomparse”</w:t>
      </w:r>
      <w:r>
        <w:rPr>
          <w:rFonts w:ascii="Arial" w:hAnsi="Arial" w:cs="Arial"/>
          <w:sz w:val="20"/>
          <w:szCs w:val="20"/>
          <w:lang w:eastAsia="it-IT"/>
        </w:rPr>
        <w:t>;</w:t>
      </w: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 w:rsidP="008E0198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D31B4B" w:rsidRDefault="00D31B4B"/>
    <w:sectPr w:rsidR="00D31B4B" w:rsidSect="00E72C8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B4B" w:rsidRDefault="00D31B4B" w:rsidP="008E0198">
      <w:pPr>
        <w:spacing w:after="0" w:line="240" w:lineRule="auto"/>
      </w:pPr>
      <w:r>
        <w:separator/>
      </w:r>
    </w:p>
  </w:endnote>
  <w:endnote w:type="continuationSeparator" w:id="0">
    <w:p w:rsidR="00D31B4B" w:rsidRDefault="00D31B4B" w:rsidP="008E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Rubik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4B" w:rsidRDefault="00D31B4B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D31B4B" w:rsidRDefault="00D31B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B4B" w:rsidRDefault="00D31B4B" w:rsidP="008E0198">
      <w:pPr>
        <w:spacing w:after="0" w:line="240" w:lineRule="auto"/>
      </w:pPr>
      <w:r>
        <w:separator/>
      </w:r>
    </w:p>
  </w:footnote>
  <w:footnote w:type="continuationSeparator" w:id="0">
    <w:p w:rsidR="00D31B4B" w:rsidRDefault="00D31B4B" w:rsidP="008E0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9" w:type="dxa"/>
      <w:jc w:val="center"/>
      <w:tblLayout w:type="fixed"/>
      <w:tblLook w:val="00A0"/>
    </w:tblPr>
    <w:tblGrid>
      <w:gridCol w:w="2268"/>
      <w:gridCol w:w="6237"/>
      <w:gridCol w:w="964"/>
    </w:tblGrid>
    <w:tr w:rsidR="00D31B4B" w:rsidRPr="00F048D5" w:rsidTr="00BE694C">
      <w:trPr>
        <w:trHeight w:hRule="exact" w:val="340"/>
        <w:jc w:val="center"/>
      </w:trPr>
      <w:tc>
        <w:tcPr>
          <w:tcW w:w="2268" w:type="dxa"/>
          <w:shd w:val="clear" w:color="auto" w:fill="FFF2CC"/>
          <w:vAlign w:val="center"/>
        </w:tcPr>
        <w:p w:rsidR="00D31B4B" w:rsidRDefault="00D31B4B" w:rsidP="0029724F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  <w:r>
            <w:rPr>
              <w:rFonts w:ascii="Arial" w:hAnsi="Arial" w:cs="Arial"/>
              <w:b/>
              <w:caps/>
              <w:sz w:val="16"/>
              <w:szCs w:val="16"/>
              <w:lang w:eastAsia="en-US"/>
            </w:rPr>
            <w:t>Comune di</w:t>
          </w:r>
        </w:p>
      </w:tc>
      <w:tc>
        <w:tcPr>
          <w:tcW w:w="6237" w:type="dxa"/>
          <w:shd w:val="clear" w:color="auto" w:fill="FFF2CC"/>
          <w:vAlign w:val="center"/>
        </w:tcPr>
        <w:p w:rsidR="00D31B4B" w:rsidRDefault="00D31B4B" w:rsidP="0029724F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  <w:r>
            <w:rPr>
              <w:rFonts w:ascii="Arial" w:hAnsi="Arial" w:cs="Arial"/>
              <w:b/>
              <w:caps/>
              <w:sz w:val="16"/>
              <w:szCs w:val="16"/>
              <w:lang w:eastAsia="en-US"/>
            </w:rPr>
            <w:t>piano di protezione civile COMUNALE</w:t>
          </w:r>
        </w:p>
      </w:tc>
      <w:tc>
        <w:tcPr>
          <w:tcW w:w="964" w:type="dxa"/>
          <w:shd w:val="clear" w:color="auto" w:fill="FFF2CC"/>
          <w:vAlign w:val="center"/>
        </w:tcPr>
        <w:p w:rsidR="00D31B4B" w:rsidRDefault="00D31B4B" w:rsidP="0029724F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</w:p>
      </w:tc>
    </w:tr>
    <w:tr w:rsidR="00D31B4B" w:rsidRPr="00F048D5" w:rsidTr="00BE694C">
      <w:trPr>
        <w:trHeight w:hRule="exact" w:val="794"/>
        <w:jc w:val="center"/>
      </w:trPr>
      <w:tc>
        <w:tcPr>
          <w:tcW w:w="2268" w:type="dxa"/>
          <w:vAlign w:val="center"/>
        </w:tcPr>
        <w:p w:rsidR="00D31B4B" w:rsidRDefault="00D31B4B" w:rsidP="0029724F">
          <w:pPr>
            <w:pStyle w:val="Intestazione1"/>
            <w:widowControl w:val="0"/>
            <w:jc w:val="center"/>
            <w:rPr>
              <w:b/>
              <w:color w:val="FF0000"/>
            </w:rPr>
          </w:pPr>
          <w:r w:rsidRPr="00F048D5">
            <w:rPr>
              <w:b/>
              <w:noProof/>
              <w:color w:val="FF000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i1027" type="#_x0000_t75" style="width:28.5pt;height:37.5pt;visibility:visible">
                <v:imagedata r:id="rId1" o:title=""/>
              </v:shape>
            </w:pict>
          </w:r>
        </w:p>
      </w:tc>
      <w:tc>
        <w:tcPr>
          <w:tcW w:w="6237" w:type="dxa"/>
          <w:vAlign w:val="center"/>
        </w:tcPr>
        <w:p w:rsidR="00D31B4B" w:rsidRDefault="00D31B4B" w:rsidP="0029724F">
          <w:pPr>
            <w:pStyle w:val="Intestazione1"/>
            <w:widowControl w:val="0"/>
            <w:jc w:val="center"/>
            <w:rPr>
              <w:rFonts w:ascii="Arial Rounded MT Bold" w:hAnsi="Arial Rounded MT Bold"/>
              <w:b/>
              <w:color w:val="000000"/>
              <w:sz w:val="30"/>
              <w:szCs w:val="30"/>
            </w:rPr>
          </w:pPr>
          <w:r>
            <w:rPr>
              <w:rFonts w:ascii="Arial Rounded MT Bold" w:hAnsi="Arial Rounded MT Bold"/>
              <w:b/>
              <w:color w:val="000000"/>
              <w:sz w:val="30"/>
              <w:szCs w:val="30"/>
            </w:rPr>
            <w:t>ALLEGATO 2.6</w:t>
          </w:r>
        </w:p>
        <w:p w:rsidR="00D31B4B" w:rsidRDefault="00D31B4B" w:rsidP="0029724F">
          <w:pPr>
            <w:pStyle w:val="Intestazione1"/>
            <w:widowControl w:val="0"/>
            <w:jc w:val="center"/>
            <w:rPr>
              <w:rFonts w:ascii="Arial Rounded MT Bold" w:hAnsi="Arial Rounded MT Bold"/>
              <w:b/>
              <w:color w:val="000000"/>
              <w:sz w:val="30"/>
              <w:szCs w:val="30"/>
            </w:rPr>
          </w:pPr>
          <w:r>
            <w:rPr>
              <w:rFonts w:ascii="Arial Rounded MT Bold" w:hAnsi="Arial Rounded MT Bold"/>
              <w:b/>
              <w:color w:val="000000"/>
              <w:sz w:val="30"/>
              <w:szCs w:val="30"/>
            </w:rPr>
            <w:t>Indicazioni operative ricerca dispersi</w:t>
          </w:r>
        </w:p>
      </w:tc>
      <w:tc>
        <w:tcPr>
          <w:tcW w:w="964" w:type="dxa"/>
          <w:vAlign w:val="center"/>
        </w:tcPr>
        <w:p w:rsidR="00D31B4B" w:rsidRDefault="00D31B4B" w:rsidP="0029724F">
          <w:pPr>
            <w:pStyle w:val="Intestazione1"/>
            <w:widowControl w:val="0"/>
            <w:jc w:val="center"/>
            <w:rPr>
              <w:b/>
              <w:color w:val="FF0000"/>
            </w:rPr>
          </w:pPr>
          <w:r w:rsidRPr="00FC7553">
            <w:rPr>
              <w:noProof/>
            </w:rPr>
            <w:pict>
              <v:shape id="Immagine 38" o:spid="_x0000_i1028" type="#_x0000_t75" style="width:28.5pt;height:28.5pt;visibility:visible">
                <v:imagedata r:id="rId2" o:title=""/>
              </v:shape>
            </w:pict>
          </w:r>
        </w:p>
      </w:tc>
    </w:tr>
    <w:tr w:rsidR="00D31B4B" w:rsidRPr="00F048D5" w:rsidTr="00BE694C">
      <w:trPr>
        <w:trHeight w:hRule="exact" w:val="340"/>
        <w:jc w:val="center"/>
      </w:trPr>
      <w:tc>
        <w:tcPr>
          <w:tcW w:w="2268" w:type="dxa"/>
          <w:tcBorders>
            <w:bottom w:val="single" w:sz="4" w:space="0" w:color="auto"/>
          </w:tcBorders>
          <w:vAlign w:val="center"/>
        </w:tcPr>
        <w:p w:rsidR="00D31B4B" w:rsidRPr="003D7786" w:rsidRDefault="00D31B4B" w:rsidP="0029724F">
          <w:pPr>
            <w:pStyle w:val="Intestazione1"/>
            <w:widowControl w:val="0"/>
            <w:jc w:val="center"/>
            <w:rPr>
              <w:rFonts w:ascii="Arial" w:hAnsi="Arial" w:cs="Arial"/>
              <w:b/>
              <w:cap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sz w:val="16"/>
              <w:szCs w:val="16"/>
            </w:rPr>
            <w:t>POGGIO A CAIANO</w:t>
          </w:r>
        </w:p>
      </w:tc>
      <w:tc>
        <w:tcPr>
          <w:tcW w:w="6237" w:type="dxa"/>
          <w:tcBorders>
            <w:bottom w:val="single" w:sz="4" w:space="0" w:color="auto"/>
          </w:tcBorders>
          <w:vAlign w:val="center"/>
        </w:tcPr>
        <w:p w:rsidR="00D31B4B" w:rsidRDefault="00D31B4B" w:rsidP="0029724F">
          <w:pPr>
            <w:pStyle w:val="Intestazione1"/>
            <w:widowControl w:val="0"/>
          </w:pPr>
        </w:p>
      </w:tc>
      <w:tc>
        <w:tcPr>
          <w:tcW w:w="964" w:type="dxa"/>
          <w:tcBorders>
            <w:bottom w:val="single" w:sz="4" w:space="0" w:color="auto"/>
          </w:tcBorders>
          <w:vAlign w:val="center"/>
        </w:tcPr>
        <w:p w:rsidR="00D31B4B" w:rsidRDefault="00D31B4B" w:rsidP="0029724F">
          <w:pPr>
            <w:pStyle w:val="Intestazione1"/>
            <w:widowControl w:val="0"/>
            <w:jc w:val="center"/>
          </w:pPr>
        </w:p>
      </w:tc>
    </w:tr>
  </w:tbl>
  <w:p w:rsidR="00D31B4B" w:rsidRDefault="00D31B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15C5"/>
    <w:multiLevelType w:val="multilevel"/>
    <w:tmpl w:val="C5BC6742"/>
    <w:lvl w:ilvl="0">
      <w:numFmt w:val="bullet"/>
      <w:lvlText w:val="•"/>
      <w:lvlJc w:val="left"/>
      <w:pPr>
        <w:tabs>
          <w:tab w:val="num" w:pos="0"/>
        </w:tabs>
        <w:ind w:left="590" w:hanging="370"/>
      </w:pPr>
      <w:rPr>
        <w:rFonts w:ascii="Calibri" w:hAnsi="Calibri" w:hint="default"/>
        <w:b w:val="0"/>
        <w:w w:val="71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451" w:hanging="37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12" w:hanging="37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3" w:hanging="37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4" w:hanging="37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95" w:hanging="37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56" w:hanging="37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17" w:hanging="37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78" w:hanging="37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198"/>
    <w:rsid w:val="002867BB"/>
    <w:rsid w:val="0029724F"/>
    <w:rsid w:val="00362286"/>
    <w:rsid w:val="003D03D0"/>
    <w:rsid w:val="003D7786"/>
    <w:rsid w:val="0055783F"/>
    <w:rsid w:val="005F1BE3"/>
    <w:rsid w:val="007C621D"/>
    <w:rsid w:val="007F7085"/>
    <w:rsid w:val="008526E4"/>
    <w:rsid w:val="008D1650"/>
    <w:rsid w:val="008E0198"/>
    <w:rsid w:val="00952A18"/>
    <w:rsid w:val="00AB7D5D"/>
    <w:rsid w:val="00BE694C"/>
    <w:rsid w:val="00CE4314"/>
    <w:rsid w:val="00D31B4B"/>
    <w:rsid w:val="00D55CFB"/>
    <w:rsid w:val="00E72C8D"/>
    <w:rsid w:val="00E93A9A"/>
    <w:rsid w:val="00F048D5"/>
    <w:rsid w:val="00FC53F1"/>
    <w:rsid w:val="00FC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198"/>
    <w:pPr>
      <w:suppressAutoHyphens/>
      <w:spacing w:after="160" w:line="259" w:lineRule="auto"/>
    </w:pPr>
    <w:rPr>
      <w:rFonts w:ascii="Helvetica" w:hAnsi="Helvetica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utocornice">
    <w:name w:val="Contenuto cornice"/>
    <w:basedOn w:val="Normal"/>
    <w:uiPriority w:val="99"/>
    <w:rsid w:val="008E0198"/>
  </w:style>
  <w:style w:type="paragraph" w:styleId="Header">
    <w:name w:val="header"/>
    <w:basedOn w:val="Normal"/>
    <w:link w:val="HeaderChar"/>
    <w:uiPriority w:val="99"/>
    <w:rsid w:val="008E01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E0198"/>
    <w:rPr>
      <w:rFonts w:ascii="Helvetica" w:hAnsi="Helvetica" w:cs="Times New Roman"/>
      <w:sz w:val="24"/>
    </w:rPr>
  </w:style>
  <w:style w:type="paragraph" w:styleId="Footer">
    <w:name w:val="footer"/>
    <w:basedOn w:val="Normal"/>
    <w:link w:val="FooterChar"/>
    <w:uiPriority w:val="99"/>
    <w:rsid w:val="008E01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E0198"/>
    <w:rPr>
      <w:rFonts w:ascii="Helvetica" w:hAnsi="Helvetica" w:cs="Times New Roman"/>
      <w:sz w:val="24"/>
    </w:rPr>
  </w:style>
  <w:style w:type="paragraph" w:customStyle="1" w:styleId="Intestazione1">
    <w:name w:val="Intestazione1"/>
    <w:basedOn w:val="Normal"/>
    <w:uiPriority w:val="99"/>
    <w:rsid w:val="008E019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Cs w:val="24"/>
      <w:lang w:eastAsia="it-IT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6228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62286"/>
    <w:rPr>
      <w:rFonts w:ascii="Helvetica" w:hAnsi="Helvetica" w:cs="Times New Roman"/>
      <w:i/>
      <w:iCs/>
      <w:color w:val="4472C4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569</Words>
  <Characters>3246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cpac135</cp:lastModifiedBy>
  <cp:revision>12</cp:revision>
  <dcterms:created xsi:type="dcterms:W3CDTF">2023-06-09T10:12:00Z</dcterms:created>
  <dcterms:modified xsi:type="dcterms:W3CDTF">2025-09-09T07:40:00Z</dcterms:modified>
</cp:coreProperties>
</file>